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0D44D6" w:rsidRDefault="006544C4" w:rsidP="000D44D6">
      <w:pPr>
        <w:jc w:val="center"/>
        <w:rPr>
          <w:highlight w:val="yellow"/>
          <w:lang w:val="fr-FR"/>
        </w:rPr>
      </w:pPr>
      <w:bookmarkStart w:id="0" w:name="_GoBack"/>
      <w:bookmarkEnd w:id="0"/>
    </w:p>
    <w:p w:rsidR="0094178F" w:rsidRPr="000D44D6" w:rsidRDefault="0094178F" w:rsidP="000D44D6">
      <w:pPr>
        <w:jc w:val="center"/>
        <w:rPr>
          <w:sz w:val="4"/>
          <w:szCs w:val="4"/>
          <w:highlight w:val="yellow"/>
          <w:lang w:val="fr-FR"/>
        </w:rPr>
      </w:pPr>
    </w:p>
    <w:p w:rsidR="006544C4" w:rsidRPr="000D44D6" w:rsidRDefault="00862065" w:rsidP="000D44D6">
      <w:pPr>
        <w:pStyle w:val="DecHTitle"/>
        <w:rPr>
          <w:lang w:val="fr-FR"/>
        </w:rPr>
      </w:pPr>
      <w:r w:rsidRPr="000D44D6">
        <w:rPr>
          <w:szCs w:val="24"/>
          <w:lang w:val="fr-FR"/>
        </w:rPr>
        <w:t>PREMIÈRE SECTION</w:t>
      </w:r>
    </w:p>
    <w:p w:rsidR="006544C4" w:rsidRPr="000D44D6" w:rsidRDefault="006544C4" w:rsidP="000D44D6">
      <w:pPr>
        <w:pStyle w:val="DecHTitle"/>
        <w:rPr>
          <w:caps/>
          <w:sz w:val="32"/>
          <w:lang w:val="fr-FR"/>
        </w:rPr>
      </w:pPr>
      <w:r w:rsidRPr="000D44D6">
        <w:rPr>
          <w:lang w:val="fr-FR"/>
        </w:rPr>
        <w:t>DÉCISION</w:t>
      </w:r>
    </w:p>
    <w:p w:rsidR="006544C4" w:rsidRPr="000D44D6" w:rsidRDefault="00862065" w:rsidP="000D44D6">
      <w:pPr>
        <w:pStyle w:val="ECHRTitleCentre2"/>
        <w:rPr>
          <w:i w:val="0"/>
          <w:lang w:val="fr-FR"/>
        </w:rPr>
      </w:pPr>
      <w:r w:rsidRPr="000D44D6">
        <w:rPr>
          <w:i w:val="0"/>
          <w:lang w:val="fr-FR"/>
        </w:rPr>
        <w:t>Requête n</w:t>
      </w:r>
      <w:r w:rsidRPr="000D44D6">
        <w:rPr>
          <w:i w:val="0"/>
          <w:vertAlign w:val="superscript"/>
          <w:lang w:val="fr-FR"/>
        </w:rPr>
        <w:t>o</w:t>
      </w:r>
      <w:r w:rsidR="006544C4" w:rsidRPr="000D44D6">
        <w:rPr>
          <w:i w:val="0"/>
          <w:lang w:val="fr-FR"/>
        </w:rPr>
        <w:t xml:space="preserve"> </w:t>
      </w:r>
      <w:r w:rsidRPr="000D44D6">
        <w:rPr>
          <w:i w:val="0"/>
          <w:lang w:val="fr-FR"/>
        </w:rPr>
        <w:t>11627/06</w:t>
      </w:r>
      <w:r w:rsidR="006544C4" w:rsidRPr="000D44D6">
        <w:rPr>
          <w:i w:val="0"/>
          <w:lang w:val="fr-FR"/>
        </w:rPr>
        <w:br/>
      </w:r>
      <w:r w:rsidRPr="000D44D6">
        <w:rPr>
          <w:i w:val="0"/>
          <w:lang w:val="fr-FR"/>
        </w:rPr>
        <w:t>GUERRIERO</w:t>
      </w:r>
      <w:r w:rsidR="006A7318" w:rsidRPr="000D44D6">
        <w:rPr>
          <w:i w:val="0"/>
          <w:lang w:val="fr-FR"/>
        </w:rPr>
        <w:t xml:space="preserve"> ET</w:t>
      </w:r>
      <w:r w:rsidRPr="000D44D6">
        <w:rPr>
          <w:i w:val="0"/>
          <w:lang w:val="fr-FR"/>
        </w:rPr>
        <w:t xml:space="preserve"> </w:t>
      </w:r>
      <w:r w:rsidR="00526A07" w:rsidRPr="000D44D6">
        <w:rPr>
          <w:i w:val="0"/>
          <w:lang w:val="fr-FR"/>
        </w:rPr>
        <w:t>BISSI</w:t>
      </w:r>
      <w:r w:rsidRPr="000D44D6">
        <w:rPr>
          <w:i w:val="0"/>
          <w:lang w:val="fr-FR"/>
        </w:rPr>
        <w:br/>
      </w:r>
      <w:r w:rsidR="006544C4" w:rsidRPr="000D44D6">
        <w:rPr>
          <w:i w:val="0"/>
          <w:lang w:val="fr-FR"/>
        </w:rPr>
        <w:t xml:space="preserve">contre </w:t>
      </w:r>
      <w:r w:rsidRPr="000D44D6">
        <w:rPr>
          <w:i w:val="0"/>
          <w:lang w:val="fr-FR"/>
        </w:rPr>
        <w:t>l</w:t>
      </w:r>
      <w:r w:rsidR="000D44D6" w:rsidRPr="000D44D6">
        <w:rPr>
          <w:i w:val="0"/>
          <w:lang w:val="fr-FR"/>
        </w:rPr>
        <w:t>’</w:t>
      </w:r>
      <w:r w:rsidRPr="000D44D6">
        <w:rPr>
          <w:i w:val="0"/>
          <w:lang w:val="fr-FR"/>
        </w:rPr>
        <w:t>Italie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La Cour européenne des droits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 xml:space="preserve">homme (première section), siégeant le </w:t>
      </w:r>
      <w:r w:rsidR="00464AB2" w:rsidRPr="000D44D6">
        <w:rPr>
          <w:lang w:val="fr-FR"/>
        </w:rPr>
        <w:t xml:space="preserve">13 septembre 2016 </w:t>
      </w:r>
      <w:r w:rsidRPr="000D44D6">
        <w:rPr>
          <w:lang w:val="fr-FR"/>
        </w:rPr>
        <w:t>en un comité composé de :</w:t>
      </w:r>
    </w:p>
    <w:p w:rsidR="00862065" w:rsidRPr="000D44D6" w:rsidRDefault="00464AB2" w:rsidP="000D44D6">
      <w:pPr>
        <w:pStyle w:val="ECHRDecisionBody"/>
        <w:rPr>
          <w:lang w:val="fr-FR"/>
        </w:rPr>
      </w:pPr>
      <w:r w:rsidRPr="000D44D6">
        <w:rPr>
          <w:lang w:val="fr-FR"/>
        </w:rPr>
        <w:tab/>
      </w:r>
      <w:proofErr w:type="spellStart"/>
      <w:r w:rsidRPr="000D44D6">
        <w:rPr>
          <w:lang w:val="fr-FR"/>
        </w:rPr>
        <w:t>Ledi</w:t>
      </w:r>
      <w:proofErr w:type="spellEnd"/>
      <w:r w:rsidRPr="000D44D6">
        <w:rPr>
          <w:lang w:val="fr-FR"/>
        </w:rPr>
        <w:t xml:space="preserve"> </w:t>
      </w:r>
      <w:proofErr w:type="spellStart"/>
      <w:r w:rsidRPr="000D44D6">
        <w:rPr>
          <w:lang w:val="fr-FR"/>
        </w:rPr>
        <w:t>Bianku</w:t>
      </w:r>
      <w:proofErr w:type="spellEnd"/>
      <w:r w:rsidRPr="000D44D6">
        <w:rPr>
          <w:lang w:val="fr-FR"/>
        </w:rPr>
        <w:t>,</w:t>
      </w:r>
      <w:r w:rsidRPr="000D44D6">
        <w:rPr>
          <w:i/>
          <w:lang w:val="fr-FR"/>
        </w:rPr>
        <w:t xml:space="preserve"> président,</w:t>
      </w:r>
      <w:r w:rsidRPr="000D44D6">
        <w:rPr>
          <w:i/>
          <w:lang w:val="fr-FR"/>
        </w:rPr>
        <w:br/>
      </w:r>
      <w:r w:rsidRPr="000D44D6">
        <w:rPr>
          <w:lang w:val="fr-FR"/>
        </w:rPr>
        <w:tab/>
      </w:r>
      <w:proofErr w:type="spellStart"/>
      <w:r w:rsidRPr="000D44D6">
        <w:rPr>
          <w:lang w:val="fr-FR"/>
        </w:rPr>
        <w:t>Aleš</w:t>
      </w:r>
      <w:proofErr w:type="spellEnd"/>
      <w:r w:rsidRPr="000D44D6">
        <w:rPr>
          <w:lang w:val="fr-FR"/>
        </w:rPr>
        <w:t xml:space="preserve"> </w:t>
      </w:r>
      <w:proofErr w:type="spellStart"/>
      <w:r w:rsidRPr="000D44D6">
        <w:rPr>
          <w:lang w:val="fr-FR"/>
        </w:rPr>
        <w:t>Pejchal</w:t>
      </w:r>
      <w:proofErr w:type="spellEnd"/>
      <w:r w:rsidRPr="000D44D6">
        <w:rPr>
          <w:lang w:val="fr-FR"/>
        </w:rPr>
        <w:t>,</w:t>
      </w:r>
      <w:r w:rsidRPr="000D44D6">
        <w:rPr>
          <w:i/>
          <w:lang w:val="fr-FR"/>
        </w:rPr>
        <w:br/>
      </w:r>
      <w:r w:rsidRPr="000D44D6">
        <w:rPr>
          <w:lang w:val="fr-FR"/>
        </w:rPr>
        <w:tab/>
      </w:r>
      <w:proofErr w:type="spellStart"/>
      <w:r w:rsidRPr="000D44D6">
        <w:rPr>
          <w:lang w:val="fr-FR"/>
        </w:rPr>
        <w:t>Armen</w:t>
      </w:r>
      <w:proofErr w:type="spellEnd"/>
      <w:r w:rsidRPr="000D44D6">
        <w:rPr>
          <w:lang w:val="fr-FR"/>
        </w:rPr>
        <w:t xml:space="preserve"> </w:t>
      </w:r>
      <w:proofErr w:type="spellStart"/>
      <w:r w:rsidRPr="000D44D6">
        <w:rPr>
          <w:lang w:val="fr-FR"/>
        </w:rPr>
        <w:t>Harutyunyan</w:t>
      </w:r>
      <w:proofErr w:type="spellEnd"/>
      <w:r w:rsidRPr="000D44D6">
        <w:rPr>
          <w:lang w:val="fr-FR"/>
        </w:rPr>
        <w:t>,</w:t>
      </w:r>
      <w:r w:rsidRPr="000D44D6">
        <w:rPr>
          <w:i/>
          <w:lang w:val="fr-FR"/>
        </w:rPr>
        <w:t xml:space="preserve"> juges,</w:t>
      </w:r>
    </w:p>
    <w:p w:rsidR="00862065" w:rsidRPr="000D44D6" w:rsidRDefault="00862065" w:rsidP="000D44D6">
      <w:pPr>
        <w:pStyle w:val="ECHRDecisionBody"/>
        <w:rPr>
          <w:lang w:val="fr-FR"/>
        </w:rPr>
      </w:pPr>
      <w:proofErr w:type="gramStart"/>
      <w:r w:rsidRPr="000D44D6">
        <w:rPr>
          <w:lang w:val="fr-FR"/>
        </w:rPr>
        <w:t>et</w:t>
      </w:r>
      <w:proofErr w:type="gramEnd"/>
      <w:r w:rsidRPr="000D44D6">
        <w:rPr>
          <w:lang w:val="fr-FR"/>
        </w:rPr>
        <w:t xml:space="preserve"> de Renata </w:t>
      </w:r>
      <w:proofErr w:type="spellStart"/>
      <w:r w:rsidRPr="000D44D6">
        <w:rPr>
          <w:lang w:val="fr-FR"/>
        </w:rPr>
        <w:t>Degener</w:t>
      </w:r>
      <w:proofErr w:type="spellEnd"/>
      <w:r w:rsidRPr="000D44D6">
        <w:rPr>
          <w:lang w:val="fr-FR"/>
        </w:rPr>
        <w:t xml:space="preserve">, </w:t>
      </w:r>
      <w:r w:rsidRPr="000D44D6">
        <w:rPr>
          <w:i/>
          <w:lang w:val="fr-FR"/>
        </w:rPr>
        <w:t>greffière adjointe</w:t>
      </w:r>
      <w:r w:rsidRPr="000D44D6">
        <w:rPr>
          <w:i/>
          <w:iCs/>
          <w:lang w:val="fr-FR"/>
        </w:rPr>
        <w:t xml:space="preserve"> d</w:t>
      </w:r>
      <w:r w:rsidRPr="000D44D6">
        <w:rPr>
          <w:i/>
          <w:lang w:val="fr-FR"/>
        </w:rPr>
        <w:t>e section,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Vu la requête susmentionnée introduite le 15 mars 2006,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Vu les déclarations formelles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acceptation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un règlement amiable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affaire,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Après en avoir délibéré, rend la décision suivante :</w:t>
      </w:r>
    </w:p>
    <w:p w:rsidR="00862065" w:rsidRPr="000D44D6" w:rsidRDefault="00862065" w:rsidP="000D44D6">
      <w:pPr>
        <w:pStyle w:val="ECHRTitle1"/>
        <w:rPr>
          <w:lang w:val="fr-FR"/>
        </w:rPr>
      </w:pPr>
      <w:r w:rsidRPr="000D44D6">
        <w:rPr>
          <w:lang w:val="fr-FR"/>
        </w:rPr>
        <w:t>FAITS ET PROCÉDURE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 xml:space="preserve">Les requérants, MM. </w:t>
      </w:r>
      <w:proofErr w:type="spellStart"/>
      <w:r w:rsidRPr="000D44D6">
        <w:rPr>
          <w:lang w:val="fr-FR"/>
        </w:rPr>
        <w:t>Leonilde</w:t>
      </w:r>
      <w:proofErr w:type="spellEnd"/>
      <w:r w:rsidRPr="000D44D6">
        <w:rPr>
          <w:lang w:val="fr-FR"/>
        </w:rPr>
        <w:t xml:space="preserve">, Enrico et Rosa </w:t>
      </w:r>
      <w:proofErr w:type="spellStart"/>
      <w:r w:rsidRPr="000D44D6">
        <w:rPr>
          <w:lang w:val="fr-FR"/>
        </w:rPr>
        <w:t>Guerriero</w:t>
      </w:r>
      <w:proofErr w:type="spellEnd"/>
      <w:r w:rsidRPr="000D44D6">
        <w:rPr>
          <w:lang w:val="fr-FR"/>
        </w:rPr>
        <w:t xml:space="preserve"> et Maria Livia </w:t>
      </w:r>
      <w:proofErr w:type="spellStart"/>
      <w:r w:rsidRPr="000D44D6">
        <w:rPr>
          <w:lang w:val="fr-FR"/>
        </w:rPr>
        <w:t>Bissi</w:t>
      </w:r>
      <w:proofErr w:type="spellEnd"/>
      <w:r w:rsidRPr="000D44D6">
        <w:rPr>
          <w:lang w:val="fr-FR"/>
        </w:rPr>
        <w:t>, sont des ressortissants italiens, nés respectivement en 1950, 1956, 1947 et 1920 et résidant à Caserte. Après le décès de M</w:t>
      </w:r>
      <w:r w:rsidRPr="000D44D6">
        <w:rPr>
          <w:vertAlign w:val="superscript"/>
          <w:lang w:val="fr-FR"/>
        </w:rPr>
        <w:t xml:space="preserve">me </w:t>
      </w:r>
      <w:r w:rsidRPr="000D44D6">
        <w:rPr>
          <w:lang w:val="fr-FR"/>
        </w:rPr>
        <w:t xml:space="preserve">Maria Livia </w:t>
      </w:r>
      <w:proofErr w:type="spellStart"/>
      <w:r w:rsidRPr="000D44D6">
        <w:rPr>
          <w:lang w:val="fr-FR"/>
        </w:rPr>
        <w:t>Bissi</w:t>
      </w:r>
      <w:proofErr w:type="spellEnd"/>
      <w:r w:rsidRPr="000D44D6">
        <w:rPr>
          <w:lang w:val="fr-FR"/>
        </w:rPr>
        <w:t xml:space="preserve"> le 16 juillet 2006, les autres requérants ont poursuivi la procédure aussi en tant qu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héritiers de la défunte. Après le décès de M</w:t>
      </w:r>
      <w:r w:rsidRPr="000D44D6">
        <w:rPr>
          <w:vertAlign w:val="superscript"/>
          <w:lang w:val="fr-FR"/>
        </w:rPr>
        <w:t>me</w:t>
      </w:r>
      <w:r w:rsidRPr="000D44D6">
        <w:rPr>
          <w:lang w:val="fr-FR"/>
        </w:rPr>
        <w:t> Rosa </w:t>
      </w:r>
      <w:proofErr w:type="spellStart"/>
      <w:r w:rsidRPr="000D44D6">
        <w:rPr>
          <w:lang w:val="fr-FR"/>
        </w:rPr>
        <w:t>Guerriero</w:t>
      </w:r>
      <w:proofErr w:type="spellEnd"/>
      <w:r w:rsidRPr="000D44D6">
        <w:rPr>
          <w:lang w:val="fr-FR"/>
        </w:rPr>
        <w:t xml:space="preserve"> le 23 décembre 2012, ses héritiers, MM. </w:t>
      </w:r>
      <w:proofErr w:type="spellStart"/>
      <w:r w:rsidRPr="000D44D6">
        <w:rPr>
          <w:lang w:val="fr-FR"/>
        </w:rPr>
        <w:t>Pasquale</w:t>
      </w:r>
      <w:proofErr w:type="spellEnd"/>
      <w:r w:rsidRPr="000D44D6">
        <w:rPr>
          <w:lang w:val="fr-FR"/>
        </w:rPr>
        <w:t xml:space="preserve">, Ferdinando, et Sergio </w:t>
      </w:r>
      <w:proofErr w:type="spellStart"/>
      <w:r w:rsidRPr="000D44D6">
        <w:rPr>
          <w:lang w:val="fr-FR"/>
        </w:rPr>
        <w:t>Petrella</w:t>
      </w:r>
      <w:proofErr w:type="spellEnd"/>
      <w:r w:rsidRPr="000D44D6">
        <w:rPr>
          <w:lang w:val="fr-FR"/>
        </w:rPr>
        <w:t>, sont intervenus dans la procédure devant la Cour. Ils ont été représentés par M</w:t>
      </w:r>
      <w:r w:rsidRPr="000D44D6">
        <w:rPr>
          <w:vertAlign w:val="superscript"/>
          <w:lang w:val="fr-FR"/>
        </w:rPr>
        <w:t>e</w:t>
      </w:r>
      <w:r w:rsidRPr="000D44D6">
        <w:rPr>
          <w:lang w:val="fr-FR"/>
        </w:rPr>
        <w:t xml:space="preserve"> A. </w:t>
      </w:r>
      <w:proofErr w:type="spellStart"/>
      <w:r w:rsidRPr="000D44D6">
        <w:rPr>
          <w:lang w:val="fr-FR"/>
        </w:rPr>
        <w:t>Imparato</w:t>
      </w:r>
      <w:proofErr w:type="spellEnd"/>
      <w:r w:rsidRPr="000D44D6">
        <w:rPr>
          <w:lang w:val="fr-FR"/>
        </w:rPr>
        <w:t>, avocat à Caserte.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Le gouvernement italien (« le Gouvernement ») a été représenté par son agent, M</w:t>
      </w:r>
      <w:r w:rsidRPr="000D44D6">
        <w:rPr>
          <w:vertAlign w:val="superscript"/>
          <w:lang w:val="fr-FR"/>
        </w:rPr>
        <w:t>me</w:t>
      </w:r>
      <w:r w:rsidRPr="000D44D6">
        <w:rPr>
          <w:lang w:val="fr-FR"/>
        </w:rPr>
        <w:t xml:space="preserve"> E. </w:t>
      </w:r>
      <w:proofErr w:type="spellStart"/>
      <w:r w:rsidRPr="000D44D6">
        <w:rPr>
          <w:lang w:val="fr-FR"/>
        </w:rPr>
        <w:t>Spatafora</w:t>
      </w:r>
      <w:proofErr w:type="spellEnd"/>
      <w:r w:rsidRPr="000D44D6">
        <w:rPr>
          <w:lang w:val="fr-FR"/>
        </w:rPr>
        <w:t xml:space="preserve"> et son </w:t>
      </w:r>
      <w:proofErr w:type="spellStart"/>
      <w:r w:rsidRPr="000D44D6">
        <w:rPr>
          <w:lang w:val="fr-FR"/>
        </w:rPr>
        <w:t>co</w:t>
      </w:r>
      <w:proofErr w:type="spellEnd"/>
      <w:r w:rsidRPr="000D44D6">
        <w:rPr>
          <w:lang w:val="fr-FR"/>
        </w:rPr>
        <w:noBreakHyphen/>
        <w:t>agent M</w:t>
      </w:r>
      <w:r w:rsidRPr="000D44D6">
        <w:rPr>
          <w:vertAlign w:val="superscript"/>
          <w:lang w:val="fr-FR"/>
        </w:rPr>
        <w:t>me </w:t>
      </w:r>
      <w:r w:rsidRPr="000D44D6">
        <w:rPr>
          <w:lang w:val="fr-FR"/>
        </w:rPr>
        <w:t>P. Accardo.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Invoquant les articles 1 du Protocole n</w:t>
      </w:r>
      <w:r w:rsidRPr="000D44D6">
        <w:rPr>
          <w:vertAlign w:val="superscript"/>
          <w:lang w:val="fr-FR"/>
        </w:rPr>
        <w:t>o</w:t>
      </w:r>
      <w:r w:rsidRPr="000D44D6">
        <w:rPr>
          <w:lang w:val="fr-FR"/>
        </w:rPr>
        <w:t xml:space="preserve"> 1 et 6 § 1 de la Convention, les requérants se plaignaient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avoir été privés de leur terrain de manière incompatible avec leur droit au respect de leurs biens ainsi que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iniquité de la procédure.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lastRenderedPageBreak/>
        <w:t xml:space="preserve">La requête </w:t>
      </w:r>
      <w:r w:rsidRPr="000D44D6">
        <w:rPr>
          <w:bCs/>
          <w:lang w:val="fr-FR"/>
        </w:rPr>
        <w:t>avait été communiquée</w:t>
      </w:r>
      <w:r w:rsidRPr="000D44D6">
        <w:rPr>
          <w:lang w:val="fr-FR"/>
        </w:rPr>
        <w:t xml:space="preserve"> au Gouvernement sous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angle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article 1 du Protocole n</w:t>
      </w:r>
      <w:r w:rsidRPr="000D44D6">
        <w:rPr>
          <w:vertAlign w:val="superscript"/>
          <w:lang w:val="fr-FR"/>
        </w:rPr>
        <w:t>o</w:t>
      </w:r>
      <w:r w:rsidRPr="000D44D6">
        <w:rPr>
          <w:lang w:val="fr-FR"/>
        </w:rPr>
        <w:t xml:space="preserve"> 1 et également sous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angle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article 6 § 1 de la Convention.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Les 20 juin et 1</w:t>
      </w:r>
      <w:r w:rsidRPr="000D44D6">
        <w:rPr>
          <w:vertAlign w:val="superscript"/>
          <w:lang w:val="fr-FR"/>
        </w:rPr>
        <w:t>er</w:t>
      </w:r>
      <w:r w:rsidRPr="000D44D6">
        <w:rPr>
          <w:lang w:val="fr-FR"/>
        </w:rPr>
        <w:t xml:space="preserve"> juillet 2016, la Cour a reçu des déclarations de règlement amiable signées par les parties. Par ces déclarations, le Gouvernement s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 xml:space="preserve">est engagé à verser aux requérants la somme de </w:t>
      </w:r>
      <w:r w:rsidR="001208F6" w:rsidRPr="000D44D6">
        <w:rPr>
          <w:lang w:val="fr-FR"/>
        </w:rPr>
        <w:t>92 571 </w:t>
      </w:r>
      <w:r w:rsidRPr="000D44D6">
        <w:rPr>
          <w:lang w:val="fr-FR"/>
        </w:rPr>
        <w:t>EUR (quatre-vingt-douze mille cinq cent soixante et onze euros), couvrant tout préjudice matériel et moral ainsi que les frais et dépens, plus tout montant pouvant être dû à titre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impôt par les requérants. De leur côté, les requérants ont renoncé à toute autre prétention à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encontre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Italie à propos des faits à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engage à verser, à compter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expiration de celui-ci et jusqu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affaire.</w:t>
      </w:r>
    </w:p>
    <w:p w:rsidR="00862065" w:rsidRPr="000D44D6" w:rsidRDefault="00862065" w:rsidP="000D44D6">
      <w:pPr>
        <w:pStyle w:val="ECHRTitle1"/>
        <w:rPr>
          <w:lang w:val="fr-FR"/>
        </w:rPr>
      </w:pPr>
      <w:r w:rsidRPr="000D44D6">
        <w:rPr>
          <w:lang w:val="fr-FR"/>
        </w:rPr>
        <w:t>EN DROIT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La Cour prend acte du règlement amiable auquel sont parvenues les parties. Elle estime que celui-ci s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inspire du respect des droits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homme tels que les reconnaissent la Convention et ses protocoles et n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aperçoit par ailleurs aucun motif justifiant de poursuivre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examen de la requête. En conséquence, il convient de rayer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affaire du rôle.</w:t>
      </w:r>
    </w:p>
    <w:p w:rsidR="00862065" w:rsidRPr="000D44D6" w:rsidRDefault="00862065" w:rsidP="000D44D6">
      <w:pPr>
        <w:pStyle w:val="JuParaLast"/>
        <w:rPr>
          <w:i/>
          <w:lang w:val="fr-FR"/>
        </w:rPr>
      </w:pPr>
      <w:r w:rsidRPr="000D44D6">
        <w:rPr>
          <w:lang w:val="fr-FR"/>
        </w:rPr>
        <w:t>Par ces motifs, la Cour, à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unanimité,</w:t>
      </w:r>
    </w:p>
    <w:p w:rsidR="00862065" w:rsidRPr="000D44D6" w:rsidRDefault="00862065" w:rsidP="000D44D6">
      <w:pPr>
        <w:pStyle w:val="DecList"/>
        <w:rPr>
          <w:lang w:val="fr-FR"/>
        </w:rPr>
      </w:pPr>
      <w:r w:rsidRPr="000D44D6">
        <w:rPr>
          <w:i/>
          <w:lang w:val="fr-FR"/>
        </w:rPr>
        <w:t>Décide</w:t>
      </w:r>
      <w:r w:rsidRPr="000D44D6">
        <w:rPr>
          <w:lang w:val="fr-FR"/>
        </w:rPr>
        <w:t xml:space="preserve"> de rayer la requête du rôle en application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article 39 de la Convention.</w:t>
      </w:r>
    </w:p>
    <w:p w:rsidR="006544C4" w:rsidRPr="000D44D6" w:rsidRDefault="006544C4" w:rsidP="000D44D6">
      <w:pPr>
        <w:pStyle w:val="ECHRPara"/>
        <w:rPr>
          <w:sz w:val="2"/>
          <w:szCs w:val="2"/>
          <w:lang w:val="fr-FR" w:eastAsia="en-GB"/>
        </w:rPr>
      </w:pPr>
    </w:p>
    <w:p w:rsidR="00050A32" w:rsidRPr="000D44D6" w:rsidRDefault="00F40988" w:rsidP="000D44D6">
      <w:pPr>
        <w:pStyle w:val="JuParaLast"/>
        <w:rPr>
          <w:lang w:val="fr-FR"/>
        </w:rPr>
      </w:pPr>
      <w:r w:rsidRPr="000D44D6">
        <w:rPr>
          <w:szCs w:val="24"/>
          <w:lang w:val="fr-FR"/>
        </w:rPr>
        <w:t xml:space="preserve">Fait en français puis communiqué par écrit le </w:t>
      </w:r>
      <w:r w:rsidR="00862065" w:rsidRPr="000D44D6">
        <w:rPr>
          <w:szCs w:val="24"/>
          <w:lang w:val="fr-FR"/>
        </w:rPr>
        <w:t>6 octobre 2016</w:t>
      </w:r>
      <w:r w:rsidRPr="000D44D6">
        <w:rPr>
          <w:lang w:val="fr-FR"/>
        </w:rPr>
        <w:t>.</w:t>
      </w:r>
    </w:p>
    <w:p w:rsidR="00464AB2" w:rsidRPr="000D44D6" w:rsidRDefault="00050A32" w:rsidP="000D44D6">
      <w:pPr>
        <w:pStyle w:val="JuSigned"/>
        <w:jc w:val="both"/>
        <w:rPr>
          <w:lang w:val="fr-FR"/>
        </w:rPr>
      </w:pPr>
      <w:r w:rsidRPr="000D44D6">
        <w:rPr>
          <w:lang w:val="fr-FR"/>
        </w:rPr>
        <w:tab/>
      </w:r>
      <w:r w:rsidR="00862065" w:rsidRPr="000D44D6">
        <w:rPr>
          <w:lang w:val="fr-FR"/>
        </w:rPr>
        <w:t>Renata</w:t>
      </w:r>
      <w:r w:rsidR="00464AB2" w:rsidRPr="000D44D6">
        <w:rPr>
          <w:lang w:val="fr-FR"/>
        </w:rPr>
        <w:t xml:space="preserve"> </w:t>
      </w:r>
      <w:proofErr w:type="spellStart"/>
      <w:r w:rsidR="00862065" w:rsidRPr="000D44D6">
        <w:rPr>
          <w:lang w:val="fr-FR"/>
        </w:rPr>
        <w:t>Degener</w:t>
      </w:r>
      <w:proofErr w:type="spellEnd"/>
      <w:r w:rsidR="00464AB2" w:rsidRPr="000D44D6">
        <w:rPr>
          <w:lang w:val="fr-FR"/>
        </w:rPr>
        <w:tab/>
      </w:r>
      <w:proofErr w:type="spellStart"/>
      <w:r w:rsidR="00464AB2" w:rsidRPr="000D44D6">
        <w:rPr>
          <w:lang w:val="fr-FR"/>
        </w:rPr>
        <w:t>Ledi</w:t>
      </w:r>
      <w:proofErr w:type="spellEnd"/>
      <w:r w:rsidR="00464AB2" w:rsidRPr="000D44D6">
        <w:rPr>
          <w:lang w:val="fr-FR"/>
        </w:rPr>
        <w:t xml:space="preserve"> </w:t>
      </w:r>
      <w:proofErr w:type="spellStart"/>
      <w:r w:rsidR="00464AB2" w:rsidRPr="000D44D6">
        <w:rPr>
          <w:lang w:val="fr-FR"/>
        </w:rPr>
        <w:t>Bianku</w:t>
      </w:r>
      <w:proofErr w:type="spellEnd"/>
    </w:p>
    <w:p w:rsidR="0091478F" w:rsidRPr="000D44D6" w:rsidRDefault="0035621E" w:rsidP="000D44D6">
      <w:pPr>
        <w:pStyle w:val="JuSigned"/>
        <w:contextualSpacing/>
        <w:rPr>
          <w:lang w:val="fr-FR"/>
        </w:rPr>
      </w:pPr>
      <w:r w:rsidRPr="000D44D6">
        <w:rPr>
          <w:iCs/>
          <w:lang w:val="fr-FR"/>
        </w:rPr>
        <w:tab/>
      </w:r>
      <w:r w:rsidR="00862065" w:rsidRPr="000D44D6">
        <w:rPr>
          <w:lang w:val="fr-FR"/>
        </w:rPr>
        <w:t>Greffière adjointe</w:t>
      </w:r>
      <w:r w:rsidR="0091478F" w:rsidRPr="000D44D6">
        <w:rPr>
          <w:lang w:val="fr-FR"/>
        </w:rPr>
        <w:tab/>
      </w:r>
      <w:r w:rsidR="00862065" w:rsidRPr="000D44D6">
        <w:rPr>
          <w:lang w:val="fr-FR"/>
        </w:rPr>
        <w:t>Président</w:t>
      </w:r>
    </w:p>
    <w:sectPr w:rsidR="0091478F" w:rsidRPr="000D44D6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65" w:rsidRPr="00150BFA" w:rsidRDefault="0086206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BD60D41" wp14:editId="1DC74F8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962E11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AC6FC1" w:rsidRDefault="00862065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62E11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GUERRIERO ET BISSI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862065">
      <w:rPr>
        <w:lang w:val="fr-FR"/>
      </w:rPr>
      <w:t>GUERRIERO ET BISSI c. ITALIE</w:t>
    </w:r>
    <w:r w:rsidRPr="00AC6FC1">
      <w:rPr>
        <w:lang w:val="fr-FR"/>
      </w:rPr>
      <w:tab/>
    </w:r>
    <w:r w:rsidR="00862065">
      <w:rPr>
        <w:rStyle w:val="Numeropagina"/>
        <w:lang w:val="fr-FR"/>
      </w:rPr>
      <w:fldChar w:fldCharType="begin"/>
    </w:r>
    <w:r w:rsidR="00862065">
      <w:rPr>
        <w:rStyle w:val="Numeropagina"/>
        <w:lang w:val="fr-FR"/>
      </w:rPr>
      <w:instrText xml:space="preserve"> PAGE </w:instrText>
    </w:r>
    <w:r w:rsidR="00862065">
      <w:rPr>
        <w:rStyle w:val="Numeropagina"/>
        <w:lang w:val="fr-FR"/>
      </w:rPr>
      <w:fldChar w:fldCharType="separate"/>
    </w:r>
    <w:r w:rsidR="00464AB2">
      <w:rPr>
        <w:rStyle w:val="Numeropagina"/>
        <w:noProof/>
        <w:lang w:val="fr-FR"/>
      </w:rPr>
      <w:t>3</w:t>
    </w:r>
    <w:r w:rsidR="0086206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65" w:rsidRPr="00A45145" w:rsidRDefault="0086206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EF15998" wp14:editId="3C070A9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962E11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86206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4D6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8F6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47688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181B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AB2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07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A7318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30A7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2065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2E11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852BD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464AB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64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64A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64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64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64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64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64AB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64AB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64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AB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464AB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64AB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464AB2"/>
    <w:pPr>
      <w:numPr>
        <w:numId w:val="14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464AB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64AB2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64AB2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464AB2"/>
  </w:style>
  <w:style w:type="paragraph" w:customStyle="1" w:styleId="ECHRParaQuote">
    <w:name w:val="ECHR_Para_Quote"/>
    <w:aliases w:val="Ju_Quot"/>
    <w:basedOn w:val="Normale"/>
    <w:uiPriority w:val="14"/>
    <w:qFormat/>
    <w:rsid w:val="00464AB2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464AB2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464AB2"/>
  </w:style>
  <w:style w:type="paragraph" w:customStyle="1" w:styleId="OpiQuot">
    <w:name w:val="Opi_Quot"/>
    <w:basedOn w:val="ECHRParaQuote"/>
    <w:uiPriority w:val="48"/>
    <w:semiHidden/>
    <w:qFormat/>
    <w:rsid w:val="00464AB2"/>
  </w:style>
  <w:style w:type="paragraph" w:customStyle="1" w:styleId="OpiQuotSub">
    <w:name w:val="Opi_Quot_Sub"/>
    <w:basedOn w:val="JuQuotSub"/>
    <w:uiPriority w:val="49"/>
    <w:semiHidden/>
    <w:qFormat/>
    <w:rsid w:val="00464AB2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64AB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64AB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464AB2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64AB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464AB2"/>
    <w:pPr>
      <w:ind w:left="567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64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64AB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464AB2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464AB2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464AB2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464AB2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64AB2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64AB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64AB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64AB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64AB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64AB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64AB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64AB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64AB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64AB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64AB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64AB2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64AB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464AB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464AB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64AB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64AB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464AB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464AB2"/>
    <w:pPr>
      <w:ind w:left="340" w:hanging="340"/>
    </w:pPr>
  </w:style>
  <w:style w:type="character" w:styleId="Enfasidelicata">
    <w:name w:val="Subtle Emphasis"/>
    <w:uiPriority w:val="99"/>
    <w:semiHidden/>
    <w:qFormat/>
    <w:rsid w:val="00464AB2"/>
    <w:rPr>
      <w:i/>
      <w:iCs/>
    </w:rPr>
  </w:style>
  <w:style w:type="paragraph" w:customStyle="1" w:styleId="JuLista">
    <w:name w:val="Ju_List_a"/>
    <w:basedOn w:val="JuList"/>
    <w:uiPriority w:val="28"/>
    <w:qFormat/>
    <w:rsid w:val="00464AB2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464AB2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464AB2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64AB2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464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64AB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64AB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464AB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4A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AB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64AB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64AB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64AB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464AB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64AB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64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64AB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64AB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64AB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64AB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64AB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64AB2"/>
    <w:rPr>
      <w:smallCaps/>
    </w:rPr>
  </w:style>
  <w:style w:type="table" w:styleId="Grigliatabella">
    <w:name w:val="Table Grid"/>
    <w:basedOn w:val="Tabellanormale"/>
    <w:uiPriority w:val="59"/>
    <w:rsid w:val="00464AB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64AB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64AB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464AB2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464AB2"/>
    <w:pPr>
      <w:ind w:left="1037" w:hanging="357"/>
      <w:outlineLvl w:val="4"/>
    </w:pPr>
    <w:rPr>
      <w:b w:val="0"/>
      <w:i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64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64AB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64AB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64AB2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64AB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464AB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464AB2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464AB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464AB2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464AB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64AB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464AB2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464AB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64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64A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64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64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64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64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64AB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64AB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64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AB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464AB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64AB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464AB2"/>
    <w:pPr>
      <w:numPr>
        <w:numId w:val="14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464AB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64AB2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64AB2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464AB2"/>
  </w:style>
  <w:style w:type="paragraph" w:customStyle="1" w:styleId="ECHRParaQuote">
    <w:name w:val="ECHR_Para_Quote"/>
    <w:aliases w:val="Ju_Quot"/>
    <w:basedOn w:val="Normale"/>
    <w:uiPriority w:val="14"/>
    <w:qFormat/>
    <w:rsid w:val="00464AB2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464AB2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464AB2"/>
  </w:style>
  <w:style w:type="paragraph" w:customStyle="1" w:styleId="OpiQuot">
    <w:name w:val="Opi_Quot"/>
    <w:basedOn w:val="ECHRParaQuote"/>
    <w:uiPriority w:val="48"/>
    <w:semiHidden/>
    <w:qFormat/>
    <w:rsid w:val="00464AB2"/>
  </w:style>
  <w:style w:type="paragraph" w:customStyle="1" w:styleId="OpiQuotSub">
    <w:name w:val="Opi_Quot_Sub"/>
    <w:basedOn w:val="JuQuotSub"/>
    <w:uiPriority w:val="49"/>
    <w:semiHidden/>
    <w:qFormat/>
    <w:rsid w:val="00464AB2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64AB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64AB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464AB2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64AB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464AB2"/>
    <w:pPr>
      <w:ind w:left="567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64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64AB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464AB2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464AB2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464AB2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464AB2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64AB2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64AB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64AB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64AB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64AB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64AB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64AB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64AB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64AB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64AB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64AB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64AB2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64AB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464AB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464AB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64AB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64AB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464AB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464AB2"/>
    <w:pPr>
      <w:ind w:left="340" w:hanging="340"/>
    </w:pPr>
  </w:style>
  <w:style w:type="character" w:styleId="Enfasidelicata">
    <w:name w:val="Subtle Emphasis"/>
    <w:uiPriority w:val="99"/>
    <w:semiHidden/>
    <w:qFormat/>
    <w:rsid w:val="00464AB2"/>
    <w:rPr>
      <w:i/>
      <w:iCs/>
    </w:rPr>
  </w:style>
  <w:style w:type="paragraph" w:customStyle="1" w:styleId="JuLista">
    <w:name w:val="Ju_List_a"/>
    <w:basedOn w:val="JuList"/>
    <w:uiPriority w:val="28"/>
    <w:qFormat/>
    <w:rsid w:val="00464AB2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464AB2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464AB2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64AB2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464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64AB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64AB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464AB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4A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AB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64AB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64AB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64AB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464AB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64AB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64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64AB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64AB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64AB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64AB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64AB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64AB2"/>
    <w:rPr>
      <w:smallCaps/>
    </w:rPr>
  </w:style>
  <w:style w:type="table" w:styleId="Grigliatabella">
    <w:name w:val="Table Grid"/>
    <w:basedOn w:val="Tabellanormale"/>
    <w:uiPriority w:val="59"/>
    <w:rsid w:val="00464AB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64AB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64AB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464AB2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464AB2"/>
    <w:pPr>
      <w:ind w:left="1037" w:hanging="357"/>
      <w:outlineLvl w:val="4"/>
    </w:pPr>
    <w:rPr>
      <w:b w:val="0"/>
      <w:i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64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64AB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64AB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64AB2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64AB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464AB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464AB2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464AB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464AB2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464AB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64AB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464AB2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56BE-3C89-4A14-8ED8-652FEE2B0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56C10-01B3-4025-B162-27300D8B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C20A8-B197-44EA-93FB-713AD9597D7F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EB0C84-32AD-496E-9581-1340B8BC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2016-10-26T11:08:00Z</dcterms:created>
  <dcterms:modified xsi:type="dcterms:W3CDTF">2016-10-26T11:08:00Z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